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left" w:pos="426" w:leader="none"/>
        </w:tabs>
        <w:spacing w:before="120" w:after="0"/>
        <w:jc w:val="center"/>
        <w:rPr>
          <w:rStyle w:val="Style16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rFonts w:eastAsia="Calibri"/>
          <w:b/>
          <w:bCs/>
          <w:i/>
          <w:iCs/>
          <w:sz w:val="26"/>
          <w:szCs w:val="26"/>
        </w:rPr>
        <w:t>ОКПД2 33.14.19.000 Выполнение работ по ремонту оборудования АИИС КУЭ (приборов учета Миртек) СП СЭС, СП ЗЭС, СП ВЭС, СП ЦЭС в рамках выполнения годовой программы ремонтов основных производственных фондов 2026 года для нужд филиала  "Амурские электрические сети"</w:t>
      </w:r>
      <w:r>
        <w:rPr>
          <w:b/>
          <w:i/>
          <w:sz w:val="26"/>
          <w:szCs w:val="26"/>
        </w:rPr>
        <w:t>»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505401-РЕМ ПРОД-2026-ДРСК-АЭС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instrText> TOC \z \o "1-4" \u \h</w:instrText>
          </w:r>
          <w:r>
            <w:fldChar w:fldCharType="separate"/>
          </w:r>
          <w:hyperlink w:anchor="_Toc163479725">
            <w:r>
              <w:rPr>
                <w:webHidden/>
                <w:rStyle w:val="Style23"/>
                <w:vanish w:val="false"/>
              </w:rPr>
              <w:t>1.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3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42"/>
            <w:tabs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63479726">
            <w:r>
              <w:rPr>
                <w:webHidden/>
                <w:rStyle w:val="Style23"/>
                <w:iCs/>
                <w:vanish w:val="false"/>
              </w:rPr>
              <w:t>1.1.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3"/>
              </w:rPr>
              <w:t>Наименование закупаемых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2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_Toc163479727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3"/>
                <w:vanish w:val="false"/>
              </w:rPr>
              <w:t>Таблица 1. Перечень объектов заказчика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28">
            <w:r>
              <w:rPr>
                <w:webHidden/>
                <w:rStyle w:val="Style23"/>
                <w:vanish w:val="false"/>
              </w:rPr>
              <w:t>2.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42"/>
            <w:tabs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63479729">
            <w:r>
              <w:rPr>
                <w:webHidden/>
                <w:rStyle w:val="Style23"/>
                <w:iCs/>
                <w:vanish w:val="false"/>
              </w:rPr>
              <w:t>2.1.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объемам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5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63479730">
            <w:r>
              <w:rPr>
                <w:webHidden/>
                <w:rStyle w:val="Style23"/>
                <w:vanish w:val="false"/>
              </w:rPr>
              <w:t>2.1.1.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видам и объемам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3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3"/>
                <w:vanish w:val="false"/>
              </w:rPr>
              <w:t>Таблица 2. Перечень и объем выполняемых работ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5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63479732">
            <w:r>
              <w:rPr>
                <w:webHidden/>
                <w:rStyle w:val="Style23"/>
                <w:vanish w:val="false"/>
              </w:rPr>
              <w:t>2.1.2.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3"/>
                <w:vanish w:val="false"/>
              </w:rPr>
              <w:t>Таблица 3. Требования по срокам выполнения работ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42"/>
            <w:tabs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63479734">
            <w:r>
              <w:rPr>
                <w:webHidden/>
                <w:rStyle w:val="Style23"/>
                <w:iCs/>
                <w:vanish w:val="false"/>
              </w:rPr>
              <w:t>2.2.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3"/>
                <w:vanish w:val="false"/>
              </w:rPr>
              <w:t>Таблица 4. Требования к качеству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36">
            <w:r>
              <w:rPr>
                <w:webHidden/>
                <w:rStyle w:val="Style23"/>
                <w:vanish w:val="false"/>
              </w:rPr>
              <w:t>3.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63479737">
            <w:r>
              <w:rPr>
                <w:webHidden/>
                <w:rStyle w:val="Style23"/>
                <w:vanish w:val="false"/>
              </w:rPr>
              <w:t>4.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3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left" w:pos="567" w:leader="none"/>
              <w:tab w:val="right" w:pos="9911" w:leader="dot"/>
            </w:tabs>
            <w:rPr/>
          </w:pPr>
          <w:hyperlink w:anchor="_Toc163479738">
            <w:r>
              <w:rPr>
                <w:webHidden/>
                <w:rStyle w:val="Style23"/>
                <w:vanish w:val="false"/>
              </w:rPr>
              <w:t>5.</w:t>
            </w:r>
            <w:r>
              <w:rPr>
                <w:rStyle w:val="Style23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3"/>
                <w:iCs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_Toc163479738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3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>
      <w:pPr>
        <w:pStyle w:val="2"/>
        <w:numPr>
          <w:ilvl w:val="0"/>
          <w:numId w:val="0"/>
        </w:numPr>
        <w:ind w:left="0" w:hanging="0"/>
        <w:rPr>
          <w:b w:val="false"/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caps/>
          <w:lang w:val="ru-RU"/>
        </w:rPr>
      </w:pPr>
      <w:bookmarkStart w:id="0" w:name="_Toc46743506"/>
      <w:bookmarkStart w:id="1" w:name="_Toc51339692"/>
      <w:bookmarkStart w:id="2" w:name="_Toc125567276"/>
      <w:bookmarkStart w:id="3" w:name="_Toc163479725"/>
      <w:bookmarkEnd w:id="1"/>
      <w:bookmarkEnd w:id="2"/>
      <w:bookmarkEnd w:id="3"/>
      <w:r>
        <w:rPr>
          <w:lang w:val="ru-RU"/>
        </w:rPr>
        <w:t>Общие сведения</w:t>
      </w:r>
    </w:p>
    <w:p>
      <w:pPr>
        <w:pStyle w:val="4"/>
        <w:numPr>
          <w:ilvl w:val="1"/>
          <w:numId w:val="7"/>
        </w:numPr>
        <w:rPr/>
      </w:pPr>
      <w:bookmarkStart w:id="4" w:name="_Toc163479726"/>
      <w:r>
        <w:rPr/>
        <w:t>Наименование закупаем</w:t>
      </w:r>
      <w:r>
        <w:rPr>
          <w:lang w:val="ru-RU"/>
        </w:rPr>
        <w:t>ых</w:t>
      </w:r>
      <w:r>
        <w:rPr/>
        <w:t xml:space="preserve"> </w:t>
      </w:r>
      <w:bookmarkEnd w:id="0"/>
      <w:bookmarkEnd w:id="4"/>
      <w:r>
        <w:rPr>
          <w:lang w:val="ru-RU"/>
        </w:rPr>
        <w:t>работ</w:t>
      </w:r>
    </w:p>
    <w:p>
      <w:pPr>
        <w:pStyle w:val="Normal"/>
        <w:widowControl w:val="false"/>
        <w:tabs>
          <w:tab w:val="left" w:pos="426" w:leader="none"/>
        </w:tabs>
        <w:spacing w:before="120" w:after="0"/>
        <w:jc w:val="both"/>
        <w:rPr>
          <w:rStyle w:val="Style16"/>
          <w:b w:val="false"/>
          <w:b w:val="false"/>
          <w:bCs/>
          <w:sz w:val="24"/>
          <w:szCs w:val="24"/>
        </w:rPr>
      </w:pPr>
      <w:r>
        <w:rPr>
          <w:rFonts w:eastAsia="Calibri"/>
          <w:i/>
          <w:sz w:val="24"/>
          <w:szCs w:val="24"/>
          <w:lang w:eastAsia="x-none"/>
        </w:rPr>
        <w:t>«ОКПД2 33.14.19.000 Выполнение работ по ремонту оборудования АИИС КУЭ (приборов учета Миртек) СП СЭС, СП ЗЭС, СП ВЭС, СП ЦЭС в рамках выполнения годовой программы ремонтов основных производственных фондов 2026 года для нужд филиала  "Амурские электрические сети"»</w:t>
      </w:r>
      <w:r>
        <w:rPr>
          <w:rFonts w:eastAsia="Calibri"/>
          <w:i/>
          <w:lang w:eastAsia="x-none"/>
        </w:rPr>
        <w:br/>
      </w:r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>
          <w:sz w:val="24"/>
          <w:szCs w:val="24"/>
          <w:lang w:val="ru-RU"/>
        </w:rPr>
      </w:pPr>
      <w:bookmarkStart w:id="5" w:name="_Toc163479727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bookmarkEnd w:id="5"/>
      <w:r>
        <w:rPr>
          <w:sz w:val="24"/>
          <w:szCs w:val="24"/>
          <w:lang w:val="ru-RU"/>
        </w:rPr>
        <w:t>Перечень объектов заказчика</w:t>
      </w:r>
    </w:p>
    <w:tbl>
      <w:tblPr>
        <w:tblW w:w="9918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17"/>
        <w:gridCol w:w="2715"/>
        <w:gridCol w:w="1993"/>
        <w:gridCol w:w="1976"/>
        <w:gridCol w:w="2417"/>
      </w:tblGrid>
      <w:tr>
        <w:trPr/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rPr/>
            </w:pPr>
            <w:r>
              <w:rPr/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Счетчики электроэнергии  Миртек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База подрядчика</w:t>
            </w: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согласно списка</w:t>
            </w:r>
          </w:p>
        </w:tc>
        <w:tc>
          <w:tcPr>
            <w:tcW w:w="2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Эксплуатирующая организация: филиал АО «ДРСК» «Амурские ЭС»</w:t>
            </w:r>
          </w:p>
        </w:tc>
      </w:tr>
    </w:tbl>
    <w:p>
      <w:pPr>
        <w:pStyle w:val="Normal"/>
        <w:spacing w:before="240" w:after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Ремонтные работы выполняются на производственной базе подрядчика.</w:t>
      </w:r>
    </w:p>
    <w:p>
      <w:pPr>
        <w:pStyle w:val="Normal"/>
        <w:spacing w:before="0" w:after="120"/>
        <w:rPr>
          <w:rStyle w:val="Strong"/>
          <w:b w:val="false"/>
          <w:b w:val="false"/>
        </w:rPr>
      </w:pPr>
      <w:bookmarkStart w:id="6" w:name="_Hlk48209761"/>
      <w:bookmarkStart w:id="7" w:name="_Hlk48209761"/>
      <w:bookmarkEnd w:id="7"/>
      <w:r>
        <w:rPr>
          <w:b w:val="false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8" w:name="_Toc51339693"/>
      <w:bookmarkStart w:id="9" w:name="_Toc125650919"/>
      <w:bookmarkStart w:id="10" w:name="_Toc163479728"/>
      <w:bookmarkStart w:id="11" w:name="_Toc50125126"/>
      <w:bookmarkStart w:id="12" w:name="_Hlk482097611"/>
      <w:bookmarkEnd w:id="11"/>
      <w:bookmarkEnd w:id="12"/>
      <w:bookmarkEnd w:id="8"/>
      <w:bookmarkEnd w:id="9"/>
      <w:bookmarkEnd w:id="10"/>
      <w:r>
        <w:rPr>
          <w:lang w:val="ru-RU"/>
        </w:rPr>
        <w:t>Требования к продукции</w:t>
      </w:r>
    </w:p>
    <w:p>
      <w:pPr>
        <w:pStyle w:val="4"/>
        <w:numPr>
          <w:ilvl w:val="1"/>
          <w:numId w:val="8"/>
        </w:numPr>
        <w:rPr/>
      </w:pPr>
      <w:bookmarkStart w:id="13" w:name="_Toc125650920"/>
      <w:bookmarkStart w:id="14" w:name="_Toc163479729"/>
      <w:r>
        <w:rPr/>
        <w:t xml:space="preserve">Требования к объемам и срокам </w:t>
      </w:r>
      <w:bookmarkEnd w:id="13"/>
      <w:bookmarkEnd w:id="14"/>
      <w:r>
        <w:rPr>
          <w:lang w:val="ru-RU"/>
        </w:rPr>
        <w:t>выполнения работ</w:t>
      </w:r>
    </w:p>
    <w:p>
      <w:pPr>
        <w:pStyle w:val="3"/>
        <w:numPr>
          <w:ilvl w:val="2"/>
          <w:numId w:val="9"/>
        </w:numPr>
        <w:rPr/>
      </w:pPr>
      <w:bookmarkStart w:id="15" w:name="_Toc125650921"/>
      <w:bookmarkStart w:id="16" w:name="_Toc163479730"/>
      <w:bookmarkEnd w:id="15"/>
      <w:bookmarkEnd w:id="16"/>
      <w:r>
        <w:rPr>
          <w:lang w:val="ru-RU"/>
        </w:rPr>
        <w:t>Требования к видам и объемам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  <w:lang w:val="ru-RU"/>
        </w:rPr>
      </w:pPr>
      <w:bookmarkStart w:id="17" w:name="_Toc163479731"/>
      <w:bookmarkStart w:id="18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8"/>
      <w:bookmarkEnd w:id="17"/>
      <w:r>
        <w:rPr>
          <w:sz w:val="24"/>
          <w:szCs w:val="24"/>
          <w:lang w:val="ru-RU"/>
        </w:rPr>
        <w:t>и объем выполняемых работ</w:t>
      </w:r>
    </w:p>
    <w:tbl>
      <w:tblPr>
        <w:tblW w:w="9810" w:type="dxa"/>
        <w:jc w:val="left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9"/>
        <w:gridCol w:w="4849"/>
        <w:gridCol w:w="1993"/>
        <w:gridCol w:w="2118"/>
      </w:tblGrid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счетчиков электроэнергии Миртек</w:t>
            </w:r>
          </w:p>
        </w:tc>
        <w:tc>
          <w:tcPr>
            <w:tcW w:w="41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 к настоящим Техническим требованиям)</w:t>
            </w:r>
          </w:p>
        </w:tc>
      </w:tr>
    </w:tbl>
    <w:p>
      <w:pPr>
        <w:pStyle w:val="3"/>
        <w:numPr>
          <w:ilvl w:val="2"/>
          <w:numId w:val="10"/>
        </w:numPr>
        <w:rPr>
          <w:lang w:val="ru-RU"/>
        </w:rPr>
      </w:pPr>
      <w:bookmarkStart w:id="19" w:name="_Toc163479732"/>
      <w:bookmarkStart w:id="20" w:name="_Toc51339696"/>
      <w:r>
        <w:rPr>
          <w:lang w:val="ru-RU"/>
        </w:rPr>
        <w:t xml:space="preserve">Требования </w:t>
      </w:r>
      <w:bookmarkEnd w:id="20"/>
      <w:bookmarkEnd w:id="19"/>
      <w:r>
        <w:rPr>
          <w:lang w:val="ru-RU"/>
        </w:rPr>
        <w:t>к срокам выполнения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  <w:lang w:val="ru-RU"/>
        </w:rPr>
      </w:pPr>
      <w:bookmarkStart w:id="21" w:name="_Toc163479733"/>
      <w:bookmarkStart w:id="22" w:name="_Toc50125127"/>
      <w:bookmarkStart w:id="23" w:name="_Toc51339697"/>
      <w:bookmarkStart w:id="24" w:name="_Toc501251261"/>
      <w:bookmarkEnd w:id="2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bookmarkEnd w:id="23"/>
      <w:bookmarkEnd w:id="25"/>
      <w:bookmarkEnd w:id="21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38"/>
        <w:gridCol w:w="4827"/>
        <w:gridCol w:w="1983"/>
        <w:gridCol w:w="2127"/>
      </w:tblGrid>
      <w:tr>
        <w:trPr/>
        <w:tc>
          <w:tcPr>
            <w:tcW w:w="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6" w:name="_Toc46743510"/>
            <w:bookmarkEnd w:id="26"/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rPr/>
            </w:pPr>
            <w:r>
              <w:rPr/>
            </w:r>
          </w:p>
        </w:tc>
        <w:tc>
          <w:tcPr>
            <w:tcW w:w="4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счетчиков электроэнергии Миртек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5 (пяти) месяцев с даты начала выполнения работ по Договору</w:t>
            </w:r>
          </w:p>
        </w:tc>
      </w:tr>
    </w:tbl>
    <w:p>
      <w:pPr>
        <w:pStyle w:val="Normal"/>
        <w:suppressAutoHyphens w:val="true"/>
        <w:spacing w:before="120" w:after="240"/>
        <w:jc w:val="both"/>
        <w:rPr>
          <w:shd w:fill="FFFF00" w:val="clear"/>
        </w:rPr>
      </w:pPr>
      <w:r>
        <w:rPr>
          <w:shd w:fill="FFFF00" w:val="clear"/>
        </w:rPr>
      </w:r>
    </w:p>
    <w:p>
      <w:pPr>
        <w:pStyle w:val="4"/>
        <w:numPr>
          <w:ilvl w:val="1"/>
          <w:numId w:val="11"/>
        </w:numPr>
        <w:rPr/>
      </w:pPr>
      <w:bookmarkStart w:id="27" w:name="_Toc51339698"/>
      <w:bookmarkStart w:id="28" w:name="_Toc163479734"/>
      <w:r>
        <w:rPr/>
        <w:t xml:space="preserve">Требования к </w:t>
      </w:r>
      <w:bookmarkEnd w:id="28"/>
      <w:r>
        <w:rPr>
          <w:lang w:val="ru-RU"/>
        </w:rPr>
        <w:t>качеству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</w:rPr>
      </w:pPr>
      <w:bookmarkStart w:id="29" w:name="_Toc163479735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7"/>
      <w:r>
        <w:rPr>
          <w:sz w:val="24"/>
          <w:szCs w:val="24"/>
          <w:lang w:val="ru-RU"/>
        </w:rPr>
        <w:t>качеству работ</w:t>
      </w:r>
      <w:bookmarkEnd w:id="29"/>
      <w:r>
        <w:rPr>
          <w:sz w:val="24"/>
          <w:szCs w:val="24"/>
        </w:rPr>
        <w:t xml:space="preserve"> </w:t>
      </w:r>
    </w:p>
    <w:tbl>
      <w:tblPr>
        <w:tblStyle w:val="af"/>
        <w:tblW w:w="9784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78"/>
        <w:gridCol w:w="1849"/>
        <w:gridCol w:w="2459"/>
        <w:gridCol w:w="1"/>
        <w:gridCol w:w="4696"/>
      </w:tblGrid>
      <w:tr>
        <w:trPr/>
        <w:tc>
          <w:tcPr>
            <w:tcW w:w="778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49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459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697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78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9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9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697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4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4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697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Ремонтные работы выполняются на производственной базе подрядчика.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После выполнения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уведомляет заказчика о завершении работ по ремонту оборудования (в срок не позднее 3 рабочих дней до направления заказчику);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bookmarkStart w:id="30" w:name="_GoBack"/>
            <w:bookmarkEnd w:id="30"/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направляет отремонтированные приборы заказчику</w:t>
            </w:r>
          </w:p>
        </w:tc>
        <w:tc>
          <w:tcPr>
            <w:tcW w:w="4696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Материалы, используемые Подрядчиком в процессе ремонта,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</w:t>
            </w:r>
          </w:p>
        </w:tc>
        <w:tc>
          <w:tcPr>
            <w:tcW w:w="4696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</w:t>
            </w:r>
          </w:p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Поставка материалов и техники необходимых для выполнения работ – 100% Подрядчика</w:t>
            </w:r>
          </w:p>
        </w:tc>
        <w:tc>
          <w:tcPr>
            <w:tcW w:w="4696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Обеспечение Подрядчиком внутреннего контроля качества выполняемых ремонтных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в соответствии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  <w:r>
              <w:rPr>
                <w:rStyle w:val="Style16"/>
                <w:rFonts w:eastAsia="Times New Roman" w:cs="Times New Roman"/>
                <w:b w:val="false"/>
                <w:bCs/>
                <w:i w:val="false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696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жемесячная приемка объемов выполненных работ производится при предъявлении подтверждающей справки (Приложение 2), исполнительной документации, согласованных с представителем курирующей службы, и фотоотчета в эл. виде о выполненных работах (в т.ч. скрытых)</w:t>
            </w:r>
          </w:p>
        </w:tc>
        <w:tc>
          <w:tcPr>
            <w:tcW w:w="4696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696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7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4309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12-ти месяцев с момента приёмки выполненных работ. Гарантия на материалы, поставляемые Подрядчиком не менее 12-ти месяцев</w:t>
            </w:r>
          </w:p>
        </w:tc>
        <w:tc>
          <w:tcPr>
            <w:tcW w:w="469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4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before="120" w:after="0"/>
        <w:rPr/>
      </w:pPr>
      <w:r>
        <w:rPr/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/>
      </w:pPr>
      <w:r>
        <w:rPr>
          <w:lang w:val="ru-RU"/>
        </w:rPr>
        <w:t>Требов</w:t>
      </w:r>
      <w:bookmarkStart w:id="31" w:name="_Toc163479736"/>
      <w:bookmarkEnd w:id="31"/>
      <w:r>
        <w:rPr>
          <w:lang w:val="ru-RU"/>
        </w:rPr>
        <w:t>ания к документации по ценообразованию на этапе закупки</w:t>
      </w:r>
    </w:p>
    <w:p>
      <w:pPr>
        <w:pStyle w:val="Normal"/>
        <w:tabs>
          <w:tab w:val="left" w:pos="284" w:leader="none"/>
        </w:tabs>
        <w:spacing w:before="120" w:after="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3.1. В обоснование стоимости своей заявки Участник предоставляет Коммерческое предложение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3 к Техническим требованиям).</w:t>
      </w:r>
    </w:p>
    <w:p>
      <w:pPr>
        <w:pStyle w:val="Normal"/>
        <w:tabs>
          <w:tab w:val="left" w:pos="284" w:leader="none"/>
        </w:tabs>
        <w:spacing w:before="120" w:after="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3.2. Дополнительные документы по ценообразованию (сметная документация (калькуляция)) в состав заявки Участника не включаются.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rStyle w:val="Style16"/>
          <w:b w:val="false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32" w:name="_Toc163479737"/>
      <w:bookmarkEnd w:id="32"/>
      <w:r>
        <w:rPr>
          <w:lang w:val="ru-RU"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tabs>
          <w:tab w:val="left" w:pos="284" w:leader="none"/>
        </w:tabs>
        <w:spacing w:before="120" w:after="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4.1. Сметная документация (калькуляция)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(калькуляции)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tabs>
          <w:tab w:val="left" w:pos="284" w:leader="none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4.2. Внесение изменений в сметную документацию (калькуляцию) Заказчика, кроме применения понижающего коэффициента в соответствии с п. 4.1, не допускается.</w:t>
      </w:r>
    </w:p>
    <w:p>
      <w:pPr>
        <w:pStyle w:val="Normal"/>
        <w:tabs>
          <w:tab w:val="left" w:pos="284" w:leader="none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iCs/>
          <w:caps/>
        </w:rPr>
      </w:pPr>
      <w:bookmarkStart w:id="33" w:name="_Toc163479738"/>
      <w:bookmarkEnd w:id="33"/>
      <w:r>
        <w:rPr>
          <w:iCs/>
        </w:rPr>
        <w:t>Приложения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b w:val="false"/>
          <w:b w:val="false"/>
          <w:bCs/>
          <w:iCs/>
          <w:sz w:val="8"/>
          <w:szCs w:val="8"/>
        </w:rPr>
      </w:pPr>
      <w:r>
        <w:rPr>
          <w:b w:val="false"/>
          <w:bCs/>
          <w:iCs/>
          <w:sz w:val="8"/>
          <w:szCs w:val="8"/>
        </w:rPr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1: Ведомость дефектов и объемов работ № 1;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3: 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4: Сметная документация (калькуляция).</w:t>
      </w:r>
    </w:p>
    <w:p>
      <w:pPr>
        <w:pStyle w:val="Normal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widowControl w:val="false"/>
        <w:tabs>
          <w:tab w:val="left" w:pos="426" w:leader="none"/>
        </w:tabs>
        <w:jc w:val="both"/>
        <w:rPr>
          <w:rStyle w:val="Style16"/>
          <w:b w:val="false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left" w:pos="426" w:leader="none"/>
        </w:tabs>
        <w:jc w:val="both"/>
        <w:rPr>
          <w:rStyle w:val="Style16"/>
          <w:b w:val="false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jc w:val="both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134" w:right="851" w:header="680" w:top="1134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pStyle w:val="3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sz w:val="24"/>
        <w:b/>
        <w:szCs w:val="24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b/>
        <w:szCs w:val="24"/>
        <w:bCs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decimal"/>
      <w:suff w:val="nothing"/>
      <w:lvlText w:val="%1.%2.%3.%5."/>
      <w:lvlJc w:val="left"/>
      <w:pPr>
        <w:ind w:left="1728" w:hanging="648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decimal"/>
      <w:suff w:val="nothing"/>
      <w:lvlText w:val="%1.%2.%3.%5.%7."/>
      <w:lvlJc w:val="left"/>
      <w:pPr>
        <w:ind w:left="2232" w:hanging="792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decimal"/>
      <w:suff w:val="nothing"/>
      <w:lvlText w:val="%1.%2.%3.%5.%7.%9."/>
      <w:lvlJc w:val="left"/>
      <w:pPr>
        <w:ind w:left="2736" w:hanging="936"/>
      </w:pPr>
    </w:lvl>
  </w:abstractNum>
  <w:abstractNum w:abstractNumId="8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decimal"/>
      <w:suff w:val="nothing"/>
      <w:lvlText w:val="%1.%2.%3.%5."/>
      <w:lvlJc w:val="left"/>
      <w:pPr>
        <w:ind w:left="1728" w:hanging="648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decimal"/>
      <w:suff w:val="nothing"/>
      <w:lvlText w:val="%1.%2.%3.%5.%7."/>
      <w:lvlJc w:val="left"/>
      <w:pPr>
        <w:ind w:left="2232" w:hanging="792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decimal"/>
      <w:suff w:val="nothing"/>
      <w:lvlText w:val="%1.%2.%3.%5.%7.%9."/>
      <w:lvlJc w:val="left"/>
      <w:pPr>
        <w:ind w:left="2736" w:hanging="936"/>
      </w:pPr>
    </w:lvl>
  </w:abstractNum>
  <w:abstractNum w:abstractNumId="9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decimal"/>
      <w:suff w:val="nothing"/>
      <w:lvlText w:val="%1.%2.%3.%5."/>
      <w:lvlJc w:val="left"/>
      <w:pPr>
        <w:ind w:left="1728" w:hanging="648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decimal"/>
      <w:suff w:val="nothing"/>
      <w:lvlText w:val="%1.%2.%3.%5.%7."/>
      <w:lvlJc w:val="left"/>
      <w:pPr>
        <w:ind w:left="2232" w:hanging="792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decimal"/>
      <w:suff w:val="nothing"/>
      <w:lvlText w:val="%1.%2.%3.%5.%7.%9."/>
      <w:lvlJc w:val="left"/>
      <w:pPr>
        <w:ind w:left="2736" w:hanging="936"/>
      </w:pPr>
    </w:lvl>
  </w:abstractNum>
  <w:abstractNum w:abstractNumId="10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decimal"/>
      <w:suff w:val="nothing"/>
      <w:lvlText w:val="%1.%2.%3.%5."/>
      <w:lvlJc w:val="left"/>
      <w:pPr>
        <w:ind w:left="1728" w:hanging="648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decimal"/>
      <w:suff w:val="nothing"/>
      <w:lvlText w:val="%1.%2.%3.%5.%7."/>
      <w:lvlJc w:val="left"/>
      <w:pPr>
        <w:ind w:left="2232" w:hanging="792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decimal"/>
      <w:suff w:val="nothing"/>
      <w:lvlText w:val="%1.%2.%3.%5.%7.%9."/>
      <w:lvlJc w:val="left"/>
      <w:pPr>
        <w:ind w:left="2736" w:hanging="936"/>
      </w:pPr>
    </w:lvl>
  </w:abstractNum>
  <w:abstractNum w:abstractNumId="11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decimal"/>
      <w:suff w:val="nothing"/>
      <w:lvlText w:val="%1.%2.%3.%4.%6."/>
      <w:lvlJc w:val="left"/>
      <w:pPr>
        <w:ind w:left="2232" w:hanging="792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decimal"/>
      <w:suff w:val="nothing"/>
      <w:lvlText w:val="%1.%2.%3.%4.%6.%8."/>
      <w:lvlJc w:val="left"/>
      <w:pPr>
        <w:ind w:left="2736" w:hanging="936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1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next w:val="Normal"/>
    <w:qFormat/>
    <w:rsid w:val="00ea61a8"/>
    <w:pPr>
      <w:numPr>
        <w:ilvl w:val="0"/>
        <w:numId w:val="0"/>
      </w:numPr>
    </w:pPr>
    <w:rPr/>
  </w:style>
  <w:style w:type="paragraph" w:styleId="3">
    <w:name w:val="Heading 3"/>
    <w:basedOn w:val="Normal"/>
    <w:next w:val="Normal"/>
    <w:link w:val="31"/>
    <w:autoRedefine/>
    <w:qFormat/>
    <w:rsid w:val="00035e96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Normal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next w:val="Normal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Символ сноски"/>
    <w:qFormat/>
    <w:rPr>
      <w:vertAlign w:val="superscript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7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8" w:customStyle="1">
    <w:name w:val="Название Знак"/>
    <w:uiPriority w:val="10"/>
    <w:qFormat/>
    <w:rsid w:val="00d22f6d"/>
    <w:rPr>
      <w:sz w:val="28"/>
    </w:rPr>
  </w:style>
  <w:style w:type="character" w:styleId="Style9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10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1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2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qFormat/>
    <w:locked/>
    <w:rsid w:val="00d22f6d"/>
    <w:rPr>
      <w:sz w:val="28"/>
    </w:rPr>
  </w:style>
  <w:style w:type="character" w:styleId="Style13" w:customStyle="1">
    <w:name w:val="Текст сноски Знак"/>
    <w:uiPriority w:val="99"/>
    <w:qFormat/>
    <w:rsid w:val="00d22f6d"/>
    <w:rPr/>
  </w:style>
  <w:style w:type="character" w:styleId="Style14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5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16" w:customStyle="1">
    <w:name w:val="комментарий"/>
    <w:qFormat/>
    <w:rsid w:val="0025139e"/>
    <w:rPr>
      <w:i/>
      <w:shd w:fill="FFFF99" w:val="clear"/>
    </w:rPr>
  </w:style>
  <w:style w:type="character" w:styleId="Style17" w:customStyle="1">
    <w:name w:val="Подподпункт Знак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qFormat/>
    <w:rsid w:val="00b56f46"/>
    <w:rPr>
      <w:rFonts w:eastAsia="Calibri"/>
      <w:sz w:val="26"/>
      <w:szCs w:val="28"/>
      <w:lang w:eastAsia="en-US"/>
    </w:rPr>
  </w:style>
  <w:style w:type="character" w:styleId="Style18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9" w:customStyle="1">
    <w:name w:val="Текст примечания Знак"/>
    <w:semiHidden/>
    <w:qFormat/>
    <w:rsid w:val="00dc0f7d"/>
    <w:rPr/>
  </w:style>
  <w:style w:type="character" w:styleId="Style20" w:customStyle="1">
    <w:name w:val="Текст концевой сноски Знак"/>
    <w:basedOn w:val="DefaultParagraphFont"/>
    <w:qFormat/>
    <w:rsid w:val="003879d4"/>
    <w:rPr/>
  </w:style>
  <w:style w:type="character" w:styleId="Style21">
    <w:name w:val="Символ концевой сноски"/>
    <w:qFormat/>
    <w:rPr>
      <w:vertAlign w:val="superscript"/>
    </w:rPr>
  </w:style>
  <w:style w:type="character" w:styleId="Style22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6"/>
    <w:qFormat/>
    <w:rsid w:val="00de52bc"/>
    <w:rPr>
      <w:b/>
      <w:sz w:val="28"/>
    </w:rPr>
  </w:style>
  <w:style w:type="character" w:styleId="13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qFormat/>
    <w:rsid w:val="00c36f30"/>
    <w:rPr>
      <w:sz w:val="16"/>
      <w:szCs w:val="16"/>
    </w:rPr>
  </w:style>
  <w:style w:type="character" w:styleId="Style23">
    <w:name w:val="Ссылка указателя"/>
    <w:qFormat/>
    <w:rPr/>
  </w:style>
  <w:style w:type="character" w:styleId="ListLabel1">
    <w:name w:val="ListLabel 1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2">
    <w:name w:val="ListLabel 2"/>
    <w:qFormat/>
    <w:rPr>
      <w:b/>
      <w:bCs/>
      <w:i w:val="false"/>
      <w:iCs/>
      <w:sz w:val="24"/>
      <w:szCs w:val="24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Wingdings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Wingdings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ascii="Times New Roman" w:hAnsi="Times New Roman"/>
      <w:b/>
      <w:bCs w:val="false"/>
      <w:sz w:val="24"/>
      <w:szCs w:val="24"/>
    </w:rPr>
  </w:style>
  <w:style w:type="character" w:styleId="ListLabel14">
    <w:name w:val="ListLabel 14"/>
    <w:qFormat/>
    <w:rPr>
      <w:rFonts w:ascii="Times New Roman" w:hAnsi="Times New Roman"/>
      <w:b/>
      <w:bCs/>
      <w:sz w:val="24"/>
      <w:szCs w:val="24"/>
    </w:rPr>
  </w:style>
  <w:style w:type="character" w:styleId="ListLabel15">
    <w:name w:val="ListLabel 15"/>
    <w:qFormat/>
    <w:rPr>
      <w:rFonts w:ascii="Times New Roman" w:hAnsi="Times New Roman"/>
      <w:sz w:val="24"/>
      <w:szCs w:val="24"/>
    </w:rPr>
  </w:style>
  <w:style w:type="character" w:styleId="ListLabel16">
    <w:name w:val="ListLabel 1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17">
    <w:name w:val="ListLabel 17"/>
    <w:qFormat/>
    <w:rPr>
      <w:b/>
      <w:bCs/>
      <w:i w:val="false"/>
      <w:iCs/>
      <w:sz w:val="24"/>
      <w:szCs w:val="24"/>
    </w:rPr>
  </w:style>
  <w:style w:type="character" w:styleId="ListLabel18">
    <w:name w:val="ListLabel 18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19">
    <w:name w:val="ListLabel 19"/>
    <w:qFormat/>
    <w:rPr>
      <w:b/>
      <w:bCs/>
      <w:i w:val="false"/>
      <w:iCs/>
      <w:sz w:val="24"/>
      <w:szCs w:val="24"/>
    </w:rPr>
  </w:style>
  <w:style w:type="character" w:styleId="ListLabel20">
    <w:name w:val="ListLabel 2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1">
    <w:name w:val="ListLabel 21"/>
    <w:qFormat/>
    <w:rPr>
      <w:b/>
      <w:bCs/>
      <w:i w:val="false"/>
      <w:iCs/>
      <w:sz w:val="24"/>
      <w:szCs w:val="24"/>
    </w:rPr>
  </w:style>
  <w:style w:type="character" w:styleId="ListLabel22">
    <w:name w:val="ListLabel 2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3">
    <w:name w:val="ListLabel 23"/>
    <w:qFormat/>
    <w:rPr>
      <w:b/>
      <w:bCs/>
      <w:i w:val="false"/>
      <w:iCs/>
      <w:sz w:val="24"/>
      <w:szCs w:val="24"/>
    </w:rPr>
  </w:style>
  <w:style w:type="character" w:styleId="ListLabel24">
    <w:name w:val="ListLabel 2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5">
    <w:name w:val="ListLabel 25"/>
    <w:qFormat/>
    <w:rPr>
      <w:b/>
      <w:bCs/>
      <w:i w:val="false"/>
      <w:iCs/>
      <w:sz w:val="24"/>
      <w:szCs w:val="24"/>
    </w:rPr>
  </w:style>
  <w:style w:type="character" w:styleId="ListLabel26">
    <w:name w:val="ListLabel 2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7">
    <w:name w:val="ListLabel 27"/>
    <w:qFormat/>
    <w:rPr>
      <w:b/>
      <w:bCs/>
      <w:i w:val="false"/>
      <w:iCs/>
      <w:sz w:val="24"/>
      <w:szCs w:val="24"/>
    </w:rPr>
  </w:style>
  <w:style w:type="character" w:styleId="ListLabel28">
    <w:name w:val="ListLabel 28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9">
    <w:name w:val="ListLabel 29"/>
    <w:qFormat/>
    <w:rPr>
      <w:b/>
      <w:bCs/>
      <w:i w:val="false"/>
      <w:iCs/>
      <w:sz w:val="24"/>
      <w:szCs w:val="24"/>
    </w:rPr>
  </w:style>
  <w:style w:type="character" w:styleId="ListLabel30">
    <w:name w:val="ListLabel 3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1">
    <w:name w:val="ListLabel 31"/>
    <w:qFormat/>
    <w:rPr>
      <w:b/>
      <w:bCs/>
      <w:i w:val="false"/>
      <w:iCs/>
      <w:sz w:val="24"/>
      <w:szCs w:val="24"/>
    </w:rPr>
  </w:style>
  <w:style w:type="character" w:styleId="ListLabel32">
    <w:name w:val="ListLabel 3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3">
    <w:name w:val="ListLabel 33"/>
    <w:qFormat/>
    <w:rPr>
      <w:b/>
      <w:bCs/>
      <w:i w:val="false"/>
      <w:iCs/>
      <w:sz w:val="24"/>
      <w:szCs w:val="24"/>
    </w:rPr>
  </w:style>
  <w:style w:type="character" w:styleId="ListLabel34">
    <w:name w:val="ListLabel 3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5">
    <w:name w:val="ListLabel 35"/>
    <w:qFormat/>
    <w:rPr>
      <w:b/>
      <w:bCs/>
      <w:i w:val="false"/>
      <w:iCs/>
      <w:sz w:val="24"/>
      <w:szCs w:val="24"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5">
    <w:name w:val="Body Text"/>
    <w:basedOn w:val="Normal"/>
    <w:rsid w:val="0076353a"/>
    <w:pPr>
      <w:spacing w:before="0" w:after="12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</w:rPr>
  </w:style>
  <w:style w:type="paragraph" w:styleId="Style2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0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1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Style32">
    <w:name w:val="Footnote Text"/>
    <w:basedOn w:val="Normal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1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1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5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6">
    <w:name w:val="Footer"/>
    <w:basedOn w:val="Normal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7" w:customStyle="1">
    <w:name w:val="Подпункт"/>
    <w:basedOn w:val="Normal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next w:val="Normal"/>
    <w:autoRedefine/>
    <w:uiPriority w:val="39"/>
    <w:rsid w:val="00d5482f"/>
    <w:pPr>
      <w:tabs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38" w:customStyle="1">
    <w:name w:val="Раздел регламента"/>
    <w:basedOn w:val="Normal"/>
    <w:qFormat/>
    <w:rsid w:val="00e228fa"/>
    <w:pPr/>
    <w:rPr/>
  </w:style>
  <w:style w:type="paragraph" w:styleId="Style39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uiPriority w:val="39"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uiPriority w:val="39"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0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1">
    <w:name w:val="Subtitle"/>
    <w:basedOn w:val="Normal"/>
    <w:next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Style42">
    <w:name w:val="Index Heading"/>
    <w:basedOn w:val="Style24"/>
    <w:pPr/>
    <w:rPr/>
  </w:style>
  <w:style w:type="paragraph" w:styleId="TOCHeading">
    <w:name w:val="TOC Heading"/>
    <w:basedOn w:val="1"/>
    <w:next w:val="Normal"/>
    <w:uiPriority w:val="39"/>
    <w:qFormat/>
    <w:rsid w:val="00d22f6d"/>
    <w:pPr>
      <w:keepLines/>
      <w:numPr>
        <w:ilvl w:val="0"/>
        <w:numId w:val="0"/>
      </w:numPr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7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Symbol">
    <w:name w:val="Endnote Symbol"/>
    <w:basedOn w:val="Normal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iPriority w:val="39"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iPriority w:val="39"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iPriority w:val="39"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1" w:customStyle="1">
    <w:name w:val="Plain Text1"/>
    <w:basedOn w:val="Normal"/>
    <w:qFormat/>
    <w:rsid w:val="00c62d8a"/>
    <w:pPr>
      <w:widowControl w:val="false"/>
    </w:pPr>
    <w:rPr>
      <w:rFonts w:ascii="Courier New" w:hAnsi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8C595-E787-4466-AE17-35C3035F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Application>LibreOffice/5.3.6.1$Linux_X86_64 LibreOffice_project/30$Build-1</Application>
  <Pages>6</Pages>
  <Words>965</Words>
  <Characters>6543</Characters>
  <CharactersWithSpaces>7374</CharactersWithSpaces>
  <Paragraphs>136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2024-04-08T05:40:00Z</dcterms:created>
  <dc:creator>Быстров Олег Геннадьевич</dc:creator>
  <dc:description/>
  <dc:language>ru-RU</dc:language>
  <cp:lastModifiedBy/>
  <cp:lastPrinted>2023-01-26T10:07:00Z</cp:lastPrinted>
  <dcterms:modified xsi:type="dcterms:W3CDTF">2026-05-07T08:45:49Z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</Properties>
</file>